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47" w:rsidRPr="00E20C47" w:rsidRDefault="00E20C47" w:rsidP="00E20C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20C47">
        <w:rPr>
          <w:rFonts w:ascii="Times New Roman" w:hAnsi="Times New Roman" w:cs="Times New Roman"/>
          <w:b/>
          <w:sz w:val="32"/>
          <w:szCs w:val="32"/>
        </w:rPr>
        <w:t>Ошибки при пополнении ЕНС могут привести к образованию налоговой задолженности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Налоговая инспекция обращает внимание, что ошибки в платежном поручении на уплату налоговых платежей могут привести к тому, что сумма налога не будет считаться уплаченной. Прежде всего, это касается неверного указания счета Федерального казначейства и наименования банка получателя.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Инспекция напоминает, что исполнение обязанности по уплате налогов и взносов осуществляется через единый налоговый счет (далее – ЕНС).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ЕНС пополняется с помощью единого налогового платежа до срока уплаты налога. Поступившая сумма распределяется между обязательствами налогоплательщика в последовательности, определенной п. 8 ст. 45 Налогового кодекса Российской Федерации.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При перечислении налогов, сборов и иных обязательных платежей, администрируемых налоговыми органами, используются единые реквизиты: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Банк получателя: ОТДЕЛЕНИЕ ТУЛА БАНКА РОССИИ//УФК по Тульской области, г. Тула;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БИК банка получателя: 017003983;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Счет банка получателя: 40102810445370000059;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Счет получателя: 03100643000000018500;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Получатель: Казначейство России (ФНС России);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ИНН получателя: 7727406020;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КПП получателя: 770801001.</w:t>
      </w:r>
    </w:p>
    <w:p w:rsidR="00E20C47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Избежать ошибок при пополнении ЕНС помогут онлайн-сервисы на сайте ФНС России www.nalog.gov.ru «Уплата налогов и пошлин» и «Личные кабинеты налогоплательщика» для разных категорий пользователей (физических лиц, индивидуальных предпринимателей, юридических лиц). Платежные реквизиты в данных сервисах подтягиваются автоматически.</w:t>
      </w:r>
    </w:p>
    <w:p w:rsidR="004162A2" w:rsidRPr="00E20C47" w:rsidRDefault="00E20C47" w:rsidP="00E20C47">
      <w:pPr>
        <w:rPr>
          <w:rFonts w:ascii="Times New Roman" w:hAnsi="Times New Roman" w:cs="Times New Roman"/>
          <w:sz w:val="26"/>
          <w:szCs w:val="26"/>
        </w:rPr>
      </w:pPr>
      <w:r w:rsidRPr="00E20C47">
        <w:rPr>
          <w:rFonts w:ascii="Times New Roman" w:hAnsi="Times New Roman" w:cs="Times New Roman"/>
          <w:sz w:val="26"/>
          <w:szCs w:val="26"/>
        </w:rPr>
        <w:t>Дополнительная информация о порядке учета начислений и платежей по налогам и страховым взносам размещена в разделе «Всё о ЕНС» сайта ФНС России www.nalog.gov.ru.</w:t>
      </w:r>
    </w:p>
    <w:sectPr w:rsidR="004162A2" w:rsidRPr="00E2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47"/>
    <w:rsid w:val="000D1045"/>
    <w:rsid w:val="004162A2"/>
    <w:rsid w:val="00E2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2024-07-03T03:35:00Z</dcterms:created>
  <dcterms:modified xsi:type="dcterms:W3CDTF">2024-07-03T03:35:00Z</dcterms:modified>
</cp:coreProperties>
</file>